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North Market Chiropractic Clinic</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Shreveport, LA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NPI: </w:t>
      </w:r>
      <w:r w:rsidDel="00000000" w:rsidR="00000000" w:rsidRPr="00000000">
        <w:rPr>
          <w:b w:val="1"/>
          <w:sz w:val="24"/>
          <w:szCs w:val="24"/>
          <w:rtl w:val="0"/>
        </w:rPr>
        <w:t xml:space="preserve">1629290713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TIN: </w:t>
      </w:r>
      <w:r w:rsidDel="00000000" w:rsidR="00000000" w:rsidRPr="00000000">
        <w:rPr>
          <w:b w:val="1"/>
          <w:sz w:val="24"/>
          <w:szCs w:val="24"/>
          <w:rtl w:val="0"/>
        </w:rPr>
        <w:t xml:space="preserve">84-3679904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Business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318.</w:t>
      </w:r>
      <w:r w:rsidDel="00000000" w:rsidR="00000000" w:rsidRPr="00000000">
        <w:rPr>
          <w:b w:val="1"/>
          <w:sz w:val="24"/>
          <w:szCs w:val="24"/>
          <w:rtl w:val="0"/>
        </w:rPr>
        <w:t xml:space="preserve">222.6601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w:t>
      </w:r>
      <w:r w:rsidDel="00000000" w:rsidR="00000000" w:rsidRPr="00000000">
        <w:rPr>
          <w:b w:val="1"/>
          <w:sz w:val="24"/>
          <w:szCs w:val="24"/>
          <w:rtl w:val="0"/>
        </w:rPr>
        <w:t xml:space="preserve">Cell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318.</w:t>
      </w:r>
      <w:r w:rsidDel="00000000" w:rsidR="00000000" w:rsidRPr="00000000">
        <w:rPr>
          <w:b w:val="1"/>
          <w:sz w:val="24"/>
          <w:szCs w:val="24"/>
          <w:rtl w:val="0"/>
        </w:rPr>
        <w:t xml:space="preserve">210.8364</w:t>
      </w:r>
      <w:r w:rsidDel="00000000" w:rsidR="00000000" w:rsidRPr="00000000">
        <w:rPr>
          <w:rtl w:val="0"/>
        </w:rPr>
      </w:r>
    </w:p>
    <w:p w:rsidR="00000000" w:rsidDel="00000000" w:rsidP="00000000" w:rsidRDefault="00000000" w:rsidRPr="00000000" w14:paraId="00000005">
      <w:pPr>
        <w:spacing w:after="0" w:lineRule="auto"/>
        <w:jc w:val="center"/>
        <w:rPr>
          <w:b w:val="1"/>
          <w:sz w:val="28"/>
          <w:szCs w:val="28"/>
        </w:rPr>
      </w:pPr>
      <w:r w:rsidDel="00000000" w:rsidR="00000000" w:rsidRPr="00000000">
        <w:rPr>
          <w:b w:val="1"/>
          <w:sz w:val="28"/>
          <w:szCs w:val="28"/>
          <w:rtl w:val="0"/>
        </w:rPr>
        <w:t xml:space="preserve">Good Faith Estimate</w:t>
      </w:r>
    </w:p>
    <w:tbl>
      <w:tblPr>
        <w:tblStyle w:val="Table1"/>
        <w:tblW w:w="115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5"/>
        <w:gridCol w:w="5670"/>
        <w:gridCol w:w="1350"/>
        <w:gridCol w:w="2610"/>
        <w:tblGridChange w:id="0">
          <w:tblGrid>
            <w:gridCol w:w="1885"/>
            <w:gridCol w:w="5670"/>
            <w:gridCol w:w="1350"/>
            <w:gridCol w:w="2610"/>
          </w:tblGrid>
        </w:tblGridChange>
      </w:tblGrid>
      <w:tr>
        <w:trPr>
          <w:cantSplit w:val="0"/>
          <w:trHeight w:val="467" w:hRule="atLeast"/>
          <w:tblHeader w:val="0"/>
        </w:trPr>
        <w:tc>
          <w:tcPr>
            <w:tcBorders>
              <w:right w:color="000000" w:space="0" w:sz="0" w:val="nil"/>
            </w:tcBorders>
            <w:vAlign w:val="center"/>
          </w:tcPr>
          <w:p w:rsidR="00000000" w:rsidDel="00000000" w:rsidP="00000000" w:rsidRDefault="00000000" w:rsidRPr="00000000" w14:paraId="00000006">
            <w:pPr>
              <w:rPr>
                <w:sz w:val="24"/>
                <w:szCs w:val="24"/>
              </w:rPr>
            </w:pPr>
            <w:r w:rsidDel="00000000" w:rsidR="00000000" w:rsidRPr="00000000">
              <w:rPr>
                <w:sz w:val="24"/>
                <w:szCs w:val="24"/>
                <w:rtl w:val="0"/>
              </w:rPr>
              <w:t xml:space="preserve">Patient Name:</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07">
            <w:pPr>
              <w:rPr>
                <w:sz w:val="24"/>
                <w:szCs w:val="24"/>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08">
            <w:pPr>
              <w:rPr>
                <w:sz w:val="24"/>
                <w:szCs w:val="24"/>
              </w:rPr>
            </w:pPr>
            <w:r w:rsidDel="00000000" w:rsidR="00000000" w:rsidRPr="00000000">
              <w:rPr>
                <w:sz w:val="24"/>
                <w:szCs w:val="24"/>
                <w:rtl w:val="0"/>
              </w:rPr>
              <w:t xml:space="preserve">DOB:</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9">
            <w:pPr>
              <w:rPr>
                <w:sz w:val="28"/>
                <w:szCs w:val="28"/>
              </w:rPr>
            </w:pPr>
            <w:r w:rsidDel="00000000" w:rsidR="00000000" w:rsidRPr="00000000">
              <w:rPr>
                <w:rtl w:val="0"/>
              </w:rPr>
            </w:r>
          </w:p>
        </w:tc>
      </w:tr>
    </w:tbl>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 xml:space="preserve">                                                                                                         </w:t>
      </w:r>
    </w:p>
    <w:tbl>
      <w:tblPr>
        <w:tblStyle w:val="Table2"/>
        <w:tblW w:w="11514.0" w:type="dxa"/>
        <w:jc w:val="left"/>
        <w:tblInd w:w="6.0" w:type="dxa"/>
        <w:tblLayout w:type="fixed"/>
        <w:tblLook w:val="0400"/>
      </w:tblPr>
      <w:tblGrid>
        <w:gridCol w:w="3769"/>
        <w:gridCol w:w="725"/>
        <w:gridCol w:w="1075"/>
        <w:gridCol w:w="2075"/>
        <w:gridCol w:w="468"/>
        <w:gridCol w:w="1242"/>
        <w:gridCol w:w="450"/>
        <w:gridCol w:w="1710"/>
        <w:tblGridChange w:id="0">
          <w:tblGrid>
            <w:gridCol w:w="3769"/>
            <w:gridCol w:w="725"/>
            <w:gridCol w:w="1075"/>
            <w:gridCol w:w="2075"/>
            <w:gridCol w:w="468"/>
            <w:gridCol w:w="1242"/>
            <w:gridCol w:w="450"/>
            <w:gridCol w:w="1710"/>
          </w:tblGrid>
        </w:tblGridChange>
      </w:tblGrid>
      <w:tr>
        <w:trPr>
          <w:cantSplit w:val="0"/>
          <w:trHeight w:val="333" w:hRule="atLeast"/>
          <w:tblHeader w:val="0"/>
        </w:trPr>
        <w:tc>
          <w:tcPr>
            <w:gridSpan w:val="3"/>
            <w:tcBorders>
              <w:bottom w:color="000000" w:space="0" w:sz="4" w:val="single"/>
              <w:right w:color="000000" w:space="0" w:sz="4" w:val="single"/>
            </w:tcBorders>
            <w:shd w:fill="auto" w:val="clear"/>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Estimated Services and Items </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ind w:left="1" w:firstLine="0"/>
              <w:rPr>
                <w:b w:val="1"/>
                <w:sz w:val="24"/>
                <w:szCs w:val="24"/>
              </w:rPr>
            </w:pPr>
            <w:r w:rsidDel="00000000" w:rsidR="00000000" w:rsidRPr="00000000">
              <w:rPr>
                <w:b w:val="1"/>
                <w:sz w:val="24"/>
                <w:szCs w:val="24"/>
                <w:rtl w:val="0"/>
              </w:rPr>
              <w:t xml:space="preserve">Date of Appointment</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rPr>
                <w:b w:val="1"/>
                <w:sz w:val="24"/>
                <w:szCs w:val="24"/>
              </w:rPr>
            </w:pPr>
            <w:r w:rsidDel="00000000" w:rsidR="00000000" w:rsidRPr="00000000">
              <w:rPr>
                <w:rtl w:val="0"/>
              </w:rPr>
            </w:r>
          </w:p>
        </w:tc>
      </w:tr>
      <w:tr>
        <w:trPr>
          <w:cantSplit w:val="0"/>
          <w:trHeight w:val="845" w:hRule="atLeast"/>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Description</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(clear language) </w:t>
            </w:r>
          </w:p>
          <w:p w:rsidR="00000000" w:rsidDel="00000000" w:rsidP="00000000" w:rsidRDefault="00000000" w:rsidRPr="00000000" w14:paraId="00000015">
            <w:pPr>
              <w:rPr>
                <w:b w:val="1"/>
              </w:rPr>
            </w:pPr>
            <w:r w:rsidDel="00000000" w:rsidR="00000000" w:rsidRPr="00000000">
              <w:rPr>
                <w:b w:val="1"/>
                <w:rtl w:val="0"/>
              </w:rPr>
              <w:t xml:space="preserve">Lifestyle Medicine Program (P)</w:t>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6">
            <w:pPr>
              <w:ind w:left="1" w:firstLine="0"/>
              <w:rPr>
                <w:b w:val="1"/>
                <w:sz w:val="24"/>
                <w:szCs w:val="24"/>
              </w:rPr>
            </w:pPr>
            <w:r w:rsidDel="00000000" w:rsidR="00000000" w:rsidRPr="00000000">
              <w:rPr>
                <w:b w:val="1"/>
                <w:sz w:val="24"/>
                <w:szCs w:val="24"/>
                <w:rtl w:val="0"/>
              </w:rPr>
              <w:t xml:space="preserve">Diagnosis Code</w:t>
            </w:r>
          </w:p>
          <w:p w:rsidR="00000000" w:rsidDel="00000000" w:rsidP="00000000" w:rsidRDefault="00000000" w:rsidRPr="00000000" w14:paraId="00000017">
            <w:pPr>
              <w:ind w:left="1" w:firstLine="0"/>
              <w:rPr>
                <w:b w:val="1"/>
              </w:rPr>
            </w:pPr>
            <w:r w:rsidDel="00000000" w:rsidR="00000000" w:rsidRPr="00000000">
              <w:rPr>
                <w:b w:val="1"/>
                <w:sz w:val="24"/>
                <w:szCs w:val="24"/>
                <w:rtl w:val="0"/>
              </w:rPr>
              <w:t xml:space="preserve">(ICD-10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9">
            <w:pPr>
              <w:ind w:left="1" w:firstLine="0"/>
              <w:rPr>
                <w:b w:val="1"/>
              </w:rPr>
            </w:pPr>
            <w:r w:rsidDel="00000000" w:rsidR="00000000" w:rsidRPr="00000000">
              <w:rPr>
                <w:b w:val="1"/>
                <w:sz w:val="24"/>
                <w:szCs w:val="24"/>
                <w:rtl w:val="0"/>
              </w:rPr>
              <w:t xml:space="preserve">Quantity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A">
            <w:pPr>
              <w:ind w:left="1" w:firstLine="0"/>
              <w:jc w:val="right"/>
              <w:rPr>
                <w:b w:val="1"/>
              </w:rPr>
            </w:pPr>
            <w:r w:rsidDel="00000000" w:rsidR="00000000" w:rsidRPr="00000000">
              <w:rPr>
                <w:b w:val="1"/>
                <w:sz w:val="24"/>
                <w:szCs w:val="24"/>
                <w:rtl w:val="0"/>
              </w:rPr>
              <w:t xml:space="preserve">Expected Cost </w:t>
            </w:r>
            <w:r w:rsidDel="00000000" w:rsidR="00000000" w:rsidRPr="00000000">
              <w:rPr>
                <w:rtl w:val="0"/>
              </w:rPr>
            </w:r>
          </w:p>
        </w:tc>
      </w:tr>
      <w:tr>
        <w:trPr>
          <w:cantSplit w:val="0"/>
          <w:trHeight w:val="50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pPr>
            <w:r w:rsidDel="00000000" w:rsidR="00000000" w:rsidRPr="00000000">
              <w:rPr>
                <w:rtl w:val="0"/>
              </w:rPr>
              <w:t xml:space="preserve">Lifestyle Medicine Program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Comprehensive Wellness Evaluation (Basic Vision Test, Hearing Test, Pulmonary Function Test, </w:t>
            </w:r>
            <w:r w:rsidDel="00000000" w:rsidR="00000000" w:rsidRPr="00000000">
              <w:rPr>
                <w:sz w:val="20"/>
                <w:szCs w:val="20"/>
                <w:rtl w:val="0"/>
              </w:rPr>
              <w:t xml:space="preserve">Chest X-Rays, Earwax Removal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Pulse Oximeter) (P)</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Urinalysis (R)</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Lab Work (CBC, Cardiac Profile, Hemoglobin A1C) (C)</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TeleSensi Cardiac Evaluation (Bluetooth cardiac scan of all valves with software print out for primary provider or cardiologist review) (R)</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Week Online Lifestyle Medicine Program Consisting of 18 classes (R)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ind w:left="1" w:firstLine="0"/>
              <w:jc w:val="center"/>
              <w:rPr>
                <w:sz w:val="16"/>
                <w:szCs w:val="16"/>
              </w:rPr>
            </w:pPr>
            <w:r w:rsidDel="00000000" w:rsidR="00000000" w:rsidRPr="00000000">
              <w:rPr>
                <w:sz w:val="16"/>
                <w:szCs w:val="16"/>
                <w:rtl w:val="0"/>
              </w:rPr>
              <w:t xml:space="preserve">See Attached</w:t>
            </w:r>
          </w:p>
          <w:p w:rsidR="00000000" w:rsidDel="00000000" w:rsidP="00000000" w:rsidRDefault="00000000" w:rsidRPr="00000000" w14:paraId="00000023">
            <w:pPr>
              <w:rPr>
                <w:sz w:val="16"/>
                <w:szCs w:val="16"/>
              </w:rPr>
            </w:pPr>
            <w:r w:rsidDel="00000000" w:rsidR="00000000" w:rsidRPr="00000000">
              <w:rPr>
                <w:rtl w:val="0"/>
              </w:rPr>
            </w:r>
          </w:p>
          <w:p w:rsidR="00000000" w:rsidDel="00000000" w:rsidP="00000000" w:rsidRDefault="00000000" w:rsidRPr="00000000" w14:paraId="00000024">
            <w:pPr>
              <w:rPr>
                <w:sz w:val="16"/>
                <w:szCs w:val="16"/>
              </w:rPr>
            </w:pPr>
            <w:r w:rsidDel="00000000" w:rsidR="00000000" w:rsidRPr="00000000">
              <w:rPr>
                <w:rtl w:val="0"/>
              </w:rPr>
            </w:r>
          </w:p>
          <w:p w:rsidR="00000000" w:rsidDel="00000000" w:rsidP="00000000" w:rsidRDefault="00000000" w:rsidRPr="00000000" w14:paraId="00000025">
            <w:pPr>
              <w:rPr>
                <w:sz w:val="16"/>
                <w:szCs w:val="16"/>
              </w:rPr>
            </w:pPr>
            <w:r w:rsidDel="00000000" w:rsidR="00000000" w:rsidRPr="00000000">
              <w:rPr>
                <w:rtl w:val="0"/>
              </w:rPr>
            </w:r>
          </w:p>
          <w:p w:rsidR="00000000" w:rsidDel="00000000" w:rsidP="00000000" w:rsidRDefault="00000000" w:rsidRPr="00000000" w14:paraId="00000026">
            <w:pPr>
              <w:rPr>
                <w:sz w:val="16"/>
                <w:szCs w:val="16"/>
              </w:rPr>
            </w:pPr>
            <w:r w:rsidDel="00000000" w:rsidR="00000000" w:rsidRPr="00000000">
              <w:rPr>
                <w:rtl w:val="0"/>
              </w:rPr>
            </w:r>
          </w:p>
          <w:p w:rsidR="00000000" w:rsidDel="00000000" w:rsidP="00000000" w:rsidRDefault="00000000" w:rsidRPr="00000000" w14:paraId="00000027">
            <w:pPr>
              <w:rPr>
                <w:sz w:val="16"/>
                <w:szCs w:val="16"/>
              </w:rPr>
            </w:pPr>
            <w:r w:rsidDel="00000000" w:rsidR="00000000" w:rsidRPr="00000000">
              <w:rPr>
                <w:rtl w:val="0"/>
              </w:rPr>
            </w:r>
          </w:p>
          <w:p w:rsidR="00000000" w:rsidDel="00000000" w:rsidP="00000000" w:rsidRDefault="00000000" w:rsidRPr="00000000" w14:paraId="00000028">
            <w:pPr>
              <w:rPr>
                <w:sz w:val="16"/>
                <w:szCs w:val="16"/>
              </w:rPr>
            </w:pPr>
            <w:r w:rsidDel="00000000" w:rsidR="00000000" w:rsidRPr="00000000">
              <w:rPr>
                <w:rtl w:val="0"/>
              </w:rPr>
            </w:r>
          </w:p>
          <w:p w:rsidR="00000000" w:rsidDel="00000000" w:rsidP="00000000" w:rsidRDefault="00000000" w:rsidRPr="00000000" w14:paraId="00000029">
            <w:pPr>
              <w:tabs>
                <w:tab w:val="left" w:pos="1218"/>
              </w:tabs>
              <w:rPr>
                <w:sz w:val="16"/>
                <w:szCs w:val="16"/>
              </w:rPr>
            </w:pPr>
            <w:r w:rsidDel="00000000" w:rsidR="00000000" w:rsidRPr="00000000">
              <w:rPr>
                <w:sz w:val="16"/>
                <w:szCs w:val="16"/>
                <w:rtl w:val="0"/>
              </w:rPr>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jc w:val="center"/>
              <w:rPr>
                <w:sz w:val="20"/>
                <w:szCs w:val="20"/>
              </w:rPr>
            </w:pPr>
            <w:r w:rsidDel="00000000" w:rsidR="00000000" w:rsidRPr="00000000">
              <w:rPr>
                <w:sz w:val="20"/>
                <w:szCs w:val="20"/>
                <w:rtl w:val="0"/>
              </w:rPr>
              <w:t xml:space="preserve">1</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jc w:val="center"/>
              <w:rPr/>
            </w:pPr>
            <w:r w:rsidDel="00000000" w:rsidR="00000000" w:rsidRPr="00000000">
              <w:rPr>
                <w:rtl w:val="0"/>
              </w:rPr>
              <w:t xml:space="preserve">$2,499</w:t>
            </w:r>
          </w:p>
        </w:tc>
      </w:tr>
      <w:tr>
        <w:trPr>
          <w:cantSplit w:val="0"/>
          <w:trHeight w:val="368" w:hRule="atLeast"/>
          <w:tblHeader w:val="0"/>
        </w:trPr>
        <w:tc>
          <w:tcPr>
            <w:gridSpan w:val="2"/>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2E">
            <w:pPr>
              <w:ind w:left="7" w:firstLine="0"/>
              <w:rPr>
                <w:sz w:val="20"/>
                <w:szCs w:val="20"/>
              </w:rPr>
            </w:pPr>
            <w:r w:rsidDel="00000000" w:rsidR="00000000" w:rsidRPr="00000000">
              <w:rPr>
                <w:sz w:val="20"/>
                <w:szCs w:val="20"/>
                <w:rtl w:val="0"/>
              </w:rPr>
              <w:t xml:space="preserve">P - Primary Service (initial reason for visit)</w:t>
            </w:r>
          </w:p>
          <w:p w:rsidR="00000000" w:rsidDel="00000000" w:rsidP="00000000" w:rsidRDefault="00000000" w:rsidRPr="00000000" w14:paraId="0000002F">
            <w:pPr>
              <w:ind w:left="7" w:firstLine="0"/>
              <w:rPr>
                <w:sz w:val="20"/>
                <w:szCs w:val="20"/>
              </w:rPr>
            </w:pPr>
            <w:r w:rsidDel="00000000" w:rsidR="00000000" w:rsidRPr="00000000">
              <w:rPr>
                <w:sz w:val="20"/>
                <w:szCs w:val="20"/>
                <w:rtl w:val="0"/>
              </w:rPr>
              <w:t xml:space="preserve">C – Co-provider services</w:t>
            </w:r>
          </w:p>
          <w:p w:rsidR="00000000" w:rsidDel="00000000" w:rsidP="00000000" w:rsidRDefault="00000000" w:rsidRPr="00000000" w14:paraId="00000030">
            <w:pPr>
              <w:ind w:left="7" w:firstLine="0"/>
              <w:rPr>
                <w:sz w:val="20"/>
                <w:szCs w:val="20"/>
              </w:rPr>
            </w:pPr>
            <w:r w:rsidDel="00000000" w:rsidR="00000000" w:rsidRPr="00000000">
              <w:rPr>
                <w:sz w:val="20"/>
                <w:szCs w:val="20"/>
                <w:rtl w:val="0"/>
              </w:rPr>
              <w:t xml:space="preserve">R - Reoccurring Services or item (valid for up to 12 months from date on this form)</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ind w:left="7" w:firstLine="0"/>
              <w:jc w:val="right"/>
              <w:rPr/>
            </w:pPr>
            <w:r w:rsidDel="00000000" w:rsidR="00000000" w:rsidRPr="00000000">
              <w:rPr>
                <w:b w:val="1"/>
                <w:sz w:val="24"/>
                <w:szCs w:val="24"/>
                <w:rtl w:val="0"/>
              </w:rPr>
              <w:t xml:space="preserve">Total Expected Charges</w:t>
            </w:r>
            <w:r w:rsidDel="00000000" w:rsidR="00000000" w:rsidRPr="00000000">
              <w:rPr>
                <w:b w:val="1"/>
                <w:sz w:val="28"/>
                <w:szCs w:val="28"/>
                <w:rtl w:val="0"/>
              </w:rPr>
              <w:t xml:space="preserve">          </w:t>
            </w:r>
            <w:r w:rsidDel="00000000" w:rsidR="00000000" w:rsidRPr="00000000">
              <w:rPr>
                <w:b w:val="1"/>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ind w:left="7" w:firstLine="0"/>
              <w:jc w:val="center"/>
              <w:rPr/>
            </w:pPr>
            <w:r w:rsidDel="00000000" w:rsidR="00000000" w:rsidRPr="00000000">
              <w:rPr>
                <w:rtl w:val="0"/>
              </w:rPr>
              <w:t xml:space="preserve">2,499</w:t>
            </w:r>
          </w:p>
        </w:tc>
      </w:tr>
      <w:tr>
        <w:trPr>
          <w:cantSplit w:val="0"/>
          <w:trHeight w:val="323" w:hRule="atLeast"/>
          <w:tblHeader w:val="0"/>
        </w:trPr>
        <w:tc>
          <w:tcPr>
            <w:gridSpan w:val="2"/>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ind w:left="7" w:firstLine="0"/>
              <w:jc w:val="center"/>
              <w:rPr>
                <w:b w:val="1"/>
                <w:sz w:val="24"/>
                <w:szCs w:val="24"/>
              </w:rPr>
            </w:pPr>
            <w:r w:rsidDel="00000000" w:rsidR="00000000" w:rsidRPr="00000000">
              <w:rPr>
                <w:b w:val="1"/>
                <w:sz w:val="24"/>
                <w:szCs w:val="24"/>
                <w:rtl w:val="0"/>
              </w:rPr>
              <w:t xml:space="preserve">               Date of Good Faith Estimate: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ind w:left="7" w:firstLine="0"/>
              <w:jc w:val="right"/>
              <w:rPr/>
            </w:pPr>
            <w:r w:rsidDel="00000000" w:rsidR="00000000" w:rsidRPr="00000000">
              <w:rPr>
                <w:rtl w:val="0"/>
              </w:rPr>
            </w:r>
          </w:p>
        </w:tc>
      </w:tr>
    </w:tbl>
    <w:p w:rsidR="00000000" w:rsidDel="00000000" w:rsidP="00000000" w:rsidRDefault="00000000" w:rsidRPr="00000000" w14:paraId="00000040">
      <w:pPr>
        <w:rPr>
          <w:b w:val="1"/>
          <w:sz w:val="20"/>
          <w:szCs w:val="20"/>
        </w:rPr>
      </w:pPr>
      <w:r w:rsidDel="00000000" w:rsidR="00000000" w:rsidRPr="00000000">
        <w:rPr>
          <w:rtl w:val="0"/>
        </w:rPr>
      </w:r>
    </w:p>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                                                                                                                  Patient Signature: ________________________________________________</w:t>
      </w: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42">
      <w:pPr>
        <w:rPr>
          <w:sz w:val="15"/>
          <w:szCs w:val="15"/>
        </w:rPr>
      </w:pPr>
      <w:r w:rsidDel="00000000" w:rsidR="00000000" w:rsidRPr="00000000">
        <w:rPr>
          <w:b w:val="1"/>
          <w:sz w:val="15"/>
          <w:szCs w:val="15"/>
          <w:rtl w:val="0"/>
        </w:rPr>
        <w:t xml:space="preserve">Disclaimers: </w:t>
      </w:r>
      <w:r w:rsidDel="00000000" w:rsidR="00000000" w:rsidRPr="00000000">
        <w:rPr>
          <w:sz w:val="15"/>
          <w:szCs w:val="15"/>
          <w:rtl w:val="0"/>
        </w:rPr>
        <w:t xml:space="preserve">Comprehensive wellness evaluation including initial assessments and bloodwork are performed to identify abnormalities only. Should medical concerns be present in your test results, a referral will be made to your primary provider or appropriate specialist for further evaluation, treatment and management of your condition as indicated.</w:t>
      </w:r>
      <w:r w:rsidDel="00000000" w:rsidR="00000000" w:rsidRPr="00000000">
        <w:rPr>
          <w:b w:val="1"/>
          <w:sz w:val="15"/>
          <w:szCs w:val="15"/>
          <w:rtl w:val="0"/>
        </w:rPr>
        <w:t xml:space="preserve"> </w:t>
      </w:r>
      <w:r w:rsidDel="00000000" w:rsidR="00000000" w:rsidRPr="00000000">
        <w:rPr>
          <w:sz w:val="15"/>
          <w:szCs w:val="15"/>
          <w:rtl w:val="0"/>
        </w:rPr>
        <w:t xml:space="preserve">There may be additional items or services that we recommend as part of the course of care that must be scheduled or requested separately and are not reflected in this good faith estimate. The information provided in this good faith estimate is only an estimate of items or services reasonably expected to be furnished at the time this good faith estimate was and actual items, services, or charges may differ from the good faith estimate. You have the right to initiate the patient-provider dispute resolution process if the actual billed charges are $400 more than the expected charges included in the good faith estimate and the dispute is initiated within 120 days after the date of the bill for the items or services. To start the process, you may contact us at the phone number or address listed above to let us know the billed charges are higher than the Good Faith Estimate. You can ask us to update the bill to match the Good Faith Estimate, ask to negotiate the bill, or ask if there is financial assistance available.  You may also start a dispute resolution process with the U.S. Department of Health and Human Services within 120 calendar days (about 4 months) of the date on the original bill and if the agency disagrees with you, you will have to pay the higher amount.  To learn more and get a form to start the process, go to </w:t>
      </w:r>
      <w:hyperlink r:id="rId7">
        <w:r w:rsidDel="00000000" w:rsidR="00000000" w:rsidRPr="00000000">
          <w:rPr>
            <w:color w:val="0563c1"/>
            <w:sz w:val="15"/>
            <w:szCs w:val="15"/>
            <w:u w:val="single"/>
            <w:rtl w:val="0"/>
          </w:rPr>
          <w:t xml:space="preserve">www.cms.gov/nosurprises</w:t>
        </w:r>
      </w:hyperlink>
      <w:r w:rsidDel="00000000" w:rsidR="00000000" w:rsidRPr="00000000">
        <w:rPr>
          <w:sz w:val="15"/>
          <w:szCs w:val="15"/>
          <w:rtl w:val="0"/>
        </w:rPr>
        <w:t xml:space="preserve">. This good faith estimate is not a contract and does not require you to obtain the items or services from any of the providers or facilities identified in the good faith estimate.                             </w:t>
      </w:r>
    </w:p>
    <w:p w:rsidR="00000000" w:rsidDel="00000000" w:rsidP="00000000" w:rsidRDefault="00000000" w:rsidRPr="00000000" w14:paraId="00000043">
      <w:pPr>
        <w:jc w:val="right"/>
        <w:rPr>
          <w:sz w:val="15"/>
          <w:szCs w:val="15"/>
        </w:rPr>
      </w:pPr>
      <w:r w:rsidDel="00000000" w:rsidR="00000000" w:rsidRPr="00000000">
        <w:rPr>
          <w:sz w:val="15"/>
          <w:szCs w:val="15"/>
          <w:rtl w:val="0"/>
        </w:rPr>
        <w:t xml:space="preserve">LMP</w:t>
      </w:r>
    </w:p>
    <w:sectPr>
      <w:headerReference r:id="rId8" w:type="default"/>
      <w:footerReference r:id="rId9" w:type="default"/>
      <w:pgSz w:h="15840" w:w="12240" w:orient="portrait"/>
      <w:pgMar w:bottom="288" w:top="288"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5690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047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4741"/>
  </w:style>
  <w:style w:type="paragraph" w:styleId="Footer">
    <w:name w:val="footer"/>
    <w:basedOn w:val="Normal"/>
    <w:link w:val="FooterChar"/>
    <w:uiPriority w:val="99"/>
    <w:unhideWhenUsed w:val="1"/>
    <w:rsid w:val="001047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4741"/>
  </w:style>
  <w:style w:type="table" w:styleId="TableGrid0" w:customStyle="1">
    <w:name w:val="TableGrid"/>
    <w:rsid w:val="00E47976"/>
    <w:pPr>
      <w:spacing w:after="0" w:line="240" w:lineRule="auto"/>
    </w:pPr>
    <w:rPr>
      <w:rFonts w:eastAsiaTheme="minorEastAsia"/>
    </w:rPr>
    <w:tblPr>
      <w:tblCellMar>
        <w:top w:w="0.0" w:type="dxa"/>
        <w:left w:w="0.0" w:type="dxa"/>
        <w:bottom w:w="0.0" w:type="dxa"/>
        <w:right w:w="0.0" w:type="dxa"/>
      </w:tblCellMar>
    </w:tblPr>
  </w:style>
  <w:style w:type="paragraph" w:styleId="ListParagraph">
    <w:name w:val="List Paragraph"/>
    <w:basedOn w:val="Normal"/>
    <w:uiPriority w:val="34"/>
    <w:qFormat w:val="1"/>
    <w:rsid w:val="00A422BA"/>
    <w:pPr>
      <w:ind w:left="720"/>
      <w:contextualSpacing w:val="1"/>
    </w:pPr>
  </w:style>
  <w:style w:type="character" w:styleId="Hyperlink">
    <w:name w:val="Hyperlink"/>
    <w:basedOn w:val="DefaultParagraphFont"/>
    <w:uiPriority w:val="99"/>
    <w:unhideWhenUsed w:val="1"/>
    <w:rsid w:val="00671DB1"/>
    <w:rPr>
      <w:color w:val="0563c1" w:themeColor="hyperlink"/>
      <w:u w:val="single"/>
    </w:rPr>
  </w:style>
  <w:style w:type="character" w:styleId="UnresolvedMention">
    <w:name w:val="Unresolved Mention"/>
    <w:basedOn w:val="DefaultParagraphFont"/>
    <w:uiPriority w:val="99"/>
    <w:semiHidden w:val="1"/>
    <w:unhideWhenUsed w:val="1"/>
    <w:rsid w:val="00671DB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72.0" w:type="dxa"/>
        <w:left w:w="144.0" w:type="dxa"/>
        <w:bottom w:w="72.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ms.gov/nosurprise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QBiJmMAcvKFup2KBwWdozGI7wQ==">AMUW2mWu86PNPdg6NCkIvfXIcxLjjkxRHrDxTTq8uOxTvnBzg83y9afft/xPyMFiIeHx056pNAi6qMxp2x5j8Qji516e8CGO09+zw7l95XCJwdG5uyuuh3M=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2022-04-28T04:11:00Z</dcterms:created>
  <dc:creator>Marc Abla</dc:creator>
</cp:coreProperties>
</file>